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8B" w:rsidRPr="00E03FE8" w:rsidRDefault="00742C8B" w:rsidP="00742C8B">
      <w:pPr>
        <w:jc w:val="center"/>
        <w:rPr>
          <w:rFonts w:ascii="Times New Roman" w:hAnsi="Times New Roman"/>
          <w:b/>
          <w:sz w:val="24"/>
          <w:szCs w:val="24"/>
        </w:rPr>
      </w:pPr>
      <w:bookmarkStart w:id="0" w:name="_GoBack"/>
      <w:bookmarkEnd w:id="0"/>
      <w:r w:rsidRPr="00E03FE8">
        <w:rPr>
          <w:rFonts w:ascii="Times New Roman" w:hAnsi="Times New Roman"/>
          <w:b/>
          <w:sz w:val="24"/>
          <w:szCs w:val="24"/>
        </w:rPr>
        <w:t>P ř í l o h a</w:t>
      </w:r>
      <w:r>
        <w:rPr>
          <w:rFonts w:ascii="Times New Roman" w:hAnsi="Times New Roman"/>
          <w:b/>
          <w:sz w:val="24"/>
          <w:szCs w:val="24"/>
        </w:rPr>
        <w:t xml:space="preserve">  </w:t>
      </w:r>
    </w:p>
    <w:p w:rsidR="00742C8B" w:rsidRPr="00E03FE8" w:rsidRDefault="00742C8B" w:rsidP="00742C8B">
      <w:pPr>
        <w:rPr>
          <w:rFonts w:ascii="Times New Roman" w:hAnsi="Times New Roman"/>
          <w:b/>
          <w:sz w:val="24"/>
          <w:szCs w:val="24"/>
        </w:rPr>
      </w:pPr>
    </w:p>
    <w:p w:rsidR="00742C8B" w:rsidRPr="00E03FE8" w:rsidRDefault="00742C8B" w:rsidP="00742C8B">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430F74">
        <w:rPr>
          <w:rFonts w:ascii="Times New Roman" w:hAnsi="Times New Roman"/>
          <w:b/>
          <w:sz w:val="24"/>
          <w:szCs w:val="24"/>
        </w:rPr>
        <w:t>1</w:t>
      </w:r>
      <w:r w:rsidR="00F4472D">
        <w:rPr>
          <w:rFonts w:ascii="Times New Roman" w:hAnsi="Times New Roman"/>
          <w:b/>
          <w:sz w:val="24"/>
          <w:szCs w:val="24"/>
        </w:rPr>
        <w:t>5</w:t>
      </w:r>
      <w:r w:rsidRPr="00E03FE8">
        <w:rPr>
          <w:rFonts w:ascii="Times New Roman" w:hAnsi="Times New Roman"/>
          <w:b/>
          <w:sz w:val="24"/>
          <w:szCs w:val="24"/>
        </w:rPr>
        <w:t>R-</w:t>
      </w:r>
      <w:r w:rsidR="00BB1349">
        <w:rPr>
          <w:rFonts w:ascii="Times New Roman" w:hAnsi="Times New Roman"/>
          <w:b/>
          <w:sz w:val="24"/>
          <w:szCs w:val="24"/>
        </w:rPr>
        <w:t>833</w:t>
      </w:r>
      <w:r w:rsidRPr="00E03FE8">
        <w:rPr>
          <w:rFonts w:ascii="Times New Roman" w:hAnsi="Times New Roman"/>
          <w:b/>
          <w:sz w:val="24"/>
          <w:szCs w:val="24"/>
        </w:rPr>
        <w:t>/201</w:t>
      </w:r>
      <w:r>
        <w:rPr>
          <w:rFonts w:ascii="Times New Roman" w:hAnsi="Times New Roman"/>
          <w:b/>
          <w:sz w:val="24"/>
          <w:szCs w:val="24"/>
        </w:rPr>
        <w:t>6</w:t>
      </w:r>
      <w:r w:rsidRPr="00E03FE8">
        <w:rPr>
          <w:rFonts w:ascii="Times New Roman" w:hAnsi="Times New Roman"/>
          <w:b/>
          <w:sz w:val="24"/>
          <w:szCs w:val="24"/>
        </w:rPr>
        <w:t xml:space="preserve">  ze dne </w:t>
      </w:r>
      <w:r w:rsidR="003867AE">
        <w:rPr>
          <w:rFonts w:ascii="Times New Roman" w:hAnsi="Times New Roman"/>
          <w:b/>
          <w:sz w:val="24"/>
          <w:szCs w:val="24"/>
        </w:rPr>
        <w:t>2</w:t>
      </w:r>
      <w:r w:rsidR="00F4472D">
        <w:rPr>
          <w:rFonts w:ascii="Times New Roman" w:hAnsi="Times New Roman"/>
          <w:b/>
          <w:sz w:val="24"/>
          <w:szCs w:val="24"/>
        </w:rPr>
        <w:t>4</w:t>
      </w:r>
      <w:r w:rsidR="003867AE">
        <w:rPr>
          <w:rFonts w:ascii="Times New Roman" w:hAnsi="Times New Roman"/>
          <w:b/>
          <w:sz w:val="24"/>
          <w:szCs w:val="24"/>
        </w:rPr>
        <w:t xml:space="preserve">. </w:t>
      </w:r>
      <w:r w:rsidR="00F4472D">
        <w:rPr>
          <w:rFonts w:ascii="Times New Roman" w:hAnsi="Times New Roman"/>
          <w:b/>
          <w:sz w:val="24"/>
          <w:szCs w:val="24"/>
        </w:rPr>
        <w:t>8</w:t>
      </w:r>
      <w:r>
        <w:rPr>
          <w:rFonts w:ascii="Times New Roman" w:hAnsi="Times New Roman"/>
          <w:b/>
          <w:sz w:val="24"/>
          <w:szCs w:val="24"/>
        </w:rPr>
        <w:t xml:space="preserve">. </w:t>
      </w:r>
      <w:r w:rsidRPr="00E03FE8">
        <w:rPr>
          <w:rFonts w:ascii="Times New Roman" w:hAnsi="Times New Roman"/>
          <w:b/>
          <w:sz w:val="24"/>
          <w:szCs w:val="24"/>
        </w:rPr>
        <w:t>201</w:t>
      </w:r>
      <w:r>
        <w:rPr>
          <w:rFonts w:ascii="Times New Roman" w:hAnsi="Times New Roman"/>
          <w:b/>
          <w:sz w:val="24"/>
          <w:szCs w:val="24"/>
        </w:rPr>
        <w:t>6</w:t>
      </w:r>
    </w:p>
    <w:p w:rsidR="00742C8B" w:rsidRDefault="00742C8B" w:rsidP="00742C8B">
      <w:pPr>
        <w:jc w:val="center"/>
        <w:rPr>
          <w:b/>
        </w:rPr>
      </w:pPr>
      <w:r w:rsidRPr="00E03FE8">
        <w:rPr>
          <w:rFonts w:ascii="Times New Roman" w:hAnsi="Times New Roman"/>
          <w:sz w:val="24"/>
          <w:szCs w:val="24"/>
        </w:rPr>
        <w:t>-----------------------------------------------------------------------------------------------------------------</w:t>
      </w:r>
    </w:p>
    <w:p w:rsidR="00E06D7D" w:rsidRDefault="00E06D7D" w:rsidP="0092287B">
      <w:pPr>
        <w:jc w:val="center"/>
        <w:rPr>
          <w:rFonts w:ascii="Times New Roman" w:hAnsi="Times New Roman"/>
          <w:sz w:val="24"/>
          <w:szCs w:val="24"/>
        </w:rPr>
      </w:pPr>
    </w:p>
    <w:p w:rsidR="005C6AD9" w:rsidRDefault="005C6AD9" w:rsidP="0092287B">
      <w:pPr>
        <w:jc w:val="center"/>
        <w:rPr>
          <w:rFonts w:ascii="Times New Roman" w:hAnsi="Times New Roman"/>
          <w:sz w:val="24"/>
          <w:szCs w:val="24"/>
        </w:rPr>
      </w:pPr>
    </w:p>
    <w:p w:rsidR="005C6AD9" w:rsidRDefault="005C6AD9" w:rsidP="0092287B">
      <w:pPr>
        <w:jc w:val="center"/>
        <w:rPr>
          <w:rFonts w:ascii="Times New Roman" w:hAnsi="Times New Roman"/>
          <w:sz w:val="24"/>
          <w:szCs w:val="24"/>
        </w:rPr>
      </w:pPr>
    </w:p>
    <w:p w:rsidR="0092287B" w:rsidRPr="00E06D7D" w:rsidRDefault="0092287B" w:rsidP="0092287B">
      <w:pPr>
        <w:jc w:val="center"/>
        <w:rPr>
          <w:rFonts w:ascii="Times New Roman" w:hAnsi="Times New Roman"/>
          <w:b/>
          <w:sz w:val="24"/>
          <w:szCs w:val="24"/>
        </w:rPr>
      </w:pPr>
      <w:r w:rsidRPr="00E06D7D">
        <w:rPr>
          <w:rFonts w:ascii="Times New Roman" w:hAnsi="Times New Roman"/>
          <w:b/>
          <w:sz w:val="32"/>
          <w:szCs w:val="24"/>
        </w:rPr>
        <w:t>SMLOUVA</w:t>
      </w:r>
      <w:r w:rsidRPr="00E06D7D">
        <w:rPr>
          <w:rFonts w:ascii="Times New Roman" w:hAnsi="Times New Roman"/>
          <w:b/>
          <w:sz w:val="24"/>
          <w:szCs w:val="24"/>
        </w:rPr>
        <w:t xml:space="preserve"> </w:t>
      </w:r>
    </w:p>
    <w:p w:rsidR="0092287B" w:rsidRPr="0092287B" w:rsidRDefault="0092287B" w:rsidP="0092287B">
      <w:pPr>
        <w:jc w:val="center"/>
        <w:rPr>
          <w:rFonts w:ascii="Times New Roman" w:hAnsi="Times New Roman"/>
          <w:sz w:val="24"/>
          <w:szCs w:val="24"/>
        </w:rPr>
      </w:pPr>
      <w:r w:rsidRPr="0092287B">
        <w:rPr>
          <w:rFonts w:ascii="Times New Roman" w:hAnsi="Times New Roman"/>
          <w:sz w:val="24"/>
          <w:szCs w:val="24"/>
        </w:rPr>
        <w:t xml:space="preserve">o rozvoji území městské části Praha 4 - Pankrác </w:t>
      </w:r>
    </w:p>
    <w:p w:rsidR="0092287B" w:rsidRPr="0092287B" w:rsidRDefault="0092287B" w:rsidP="0092287B">
      <w:pPr>
        <w:jc w:val="center"/>
        <w:rPr>
          <w:rFonts w:ascii="Times New Roman" w:hAnsi="Times New Roman"/>
          <w:sz w:val="24"/>
          <w:szCs w:val="24"/>
        </w:rPr>
      </w:pPr>
    </w:p>
    <w:p w:rsidR="0092287B" w:rsidRPr="0092287B" w:rsidRDefault="0092287B" w:rsidP="0092287B">
      <w:pPr>
        <w:jc w:val="both"/>
        <w:rPr>
          <w:rFonts w:ascii="Times New Roman" w:hAnsi="Times New Roman"/>
          <w:sz w:val="24"/>
          <w:szCs w:val="24"/>
        </w:rPr>
      </w:pPr>
      <w:r w:rsidRPr="0092287B">
        <w:rPr>
          <w:rFonts w:ascii="Times New Roman" w:hAnsi="Times New Roman"/>
          <w:sz w:val="24"/>
          <w:szCs w:val="24"/>
        </w:rPr>
        <w:t xml:space="preserve">uzavřená podle ustanovení § 1746 odst. 2 zákona č. 89/2012 Sb., občanský zákoník, v platném znění, na základě usnesení Rady MČ Praha 4 č. </w:t>
      </w:r>
      <w:r w:rsidR="00E06D7D">
        <w:rPr>
          <w:rFonts w:ascii="Times New Roman" w:hAnsi="Times New Roman"/>
          <w:sz w:val="24"/>
          <w:szCs w:val="24"/>
        </w:rPr>
        <w:t>15</w:t>
      </w:r>
      <w:r w:rsidRPr="0092287B">
        <w:rPr>
          <w:rFonts w:ascii="Times New Roman" w:hAnsi="Times New Roman"/>
          <w:sz w:val="24"/>
          <w:szCs w:val="24"/>
        </w:rPr>
        <w:t>R-</w:t>
      </w:r>
      <w:r w:rsidR="00BB1349">
        <w:rPr>
          <w:rFonts w:ascii="Times New Roman" w:hAnsi="Times New Roman"/>
          <w:sz w:val="24"/>
          <w:szCs w:val="24"/>
        </w:rPr>
        <w:t>833</w:t>
      </w:r>
      <w:r w:rsidRPr="0092287B">
        <w:rPr>
          <w:rFonts w:ascii="Times New Roman" w:hAnsi="Times New Roman"/>
          <w:sz w:val="24"/>
          <w:szCs w:val="24"/>
        </w:rPr>
        <w:t>/</w:t>
      </w:r>
      <w:r w:rsidR="00E06D7D">
        <w:rPr>
          <w:rFonts w:ascii="Times New Roman" w:hAnsi="Times New Roman"/>
          <w:sz w:val="24"/>
          <w:szCs w:val="24"/>
        </w:rPr>
        <w:t>2016</w:t>
      </w:r>
      <w:r w:rsidR="00BB1349">
        <w:rPr>
          <w:rFonts w:ascii="Times New Roman" w:hAnsi="Times New Roman"/>
          <w:sz w:val="24"/>
          <w:szCs w:val="24"/>
        </w:rPr>
        <w:t xml:space="preserve"> </w:t>
      </w:r>
      <w:r w:rsidRPr="0092287B">
        <w:rPr>
          <w:rFonts w:ascii="Times New Roman" w:hAnsi="Times New Roman"/>
          <w:sz w:val="24"/>
          <w:szCs w:val="24"/>
        </w:rPr>
        <w:t>ze</w:t>
      </w:r>
      <w:r w:rsidR="00BB1349">
        <w:rPr>
          <w:rFonts w:ascii="Times New Roman" w:hAnsi="Times New Roman"/>
          <w:sz w:val="24"/>
          <w:szCs w:val="24"/>
        </w:rPr>
        <w:t> </w:t>
      </w:r>
      <w:r w:rsidRPr="0092287B">
        <w:rPr>
          <w:rFonts w:ascii="Times New Roman" w:hAnsi="Times New Roman"/>
          <w:sz w:val="24"/>
          <w:szCs w:val="24"/>
        </w:rPr>
        <w:t>dne</w:t>
      </w:r>
      <w:r w:rsidR="00BB1349">
        <w:rPr>
          <w:rFonts w:ascii="Times New Roman" w:hAnsi="Times New Roman"/>
          <w:sz w:val="24"/>
          <w:szCs w:val="24"/>
        </w:rPr>
        <w:t xml:space="preserve"> 24. 8. 2016</w:t>
      </w:r>
    </w:p>
    <w:p w:rsidR="0092287B" w:rsidRPr="0092287B" w:rsidRDefault="0092287B" w:rsidP="0092287B">
      <w:pPr>
        <w:jc w:val="center"/>
        <w:rPr>
          <w:rFonts w:ascii="Times New Roman" w:hAnsi="Times New Roman"/>
          <w:sz w:val="24"/>
          <w:szCs w:val="24"/>
        </w:rPr>
      </w:pPr>
    </w:p>
    <w:p w:rsidR="0092287B" w:rsidRPr="0092287B" w:rsidRDefault="0092287B" w:rsidP="0092287B">
      <w:pPr>
        <w:pStyle w:val="Nadpis1"/>
        <w:rPr>
          <w:rFonts w:ascii="Times New Roman" w:hAnsi="Times New Roman"/>
          <w:b w:val="0"/>
          <w:sz w:val="24"/>
          <w:szCs w:val="24"/>
        </w:rPr>
      </w:pPr>
      <w:r w:rsidRPr="0092287B">
        <w:rPr>
          <w:rFonts w:ascii="Times New Roman" w:hAnsi="Times New Roman"/>
          <w:b w:val="0"/>
          <w:sz w:val="24"/>
          <w:szCs w:val="24"/>
        </w:rPr>
        <w:t xml:space="preserve">Skanska Epsilon Project </w:t>
      </w:r>
      <w:proofErr w:type="spellStart"/>
      <w:r w:rsidRPr="0092287B">
        <w:rPr>
          <w:rFonts w:ascii="Times New Roman" w:hAnsi="Times New Roman"/>
          <w:b w:val="0"/>
          <w:sz w:val="24"/>
          <w:szCs w:val="24"/>
        </w:rPr>
        <w:t>Company</w:t>
      </w:r>
      <w:proofErr w:type="spellEnd"/>
      <w:r w:rsidRPr="0092287B">
        <w:rPr>
          <w:rFonts w:ascii="Times New Roman" w:hAnsi="Times New Roman"/>
          <w:b w:val="0"/>
          <w:sz w:val="24"/>
          <w:szCs w:val="24"/>
        </w:rPr>
        <w:t xml:space="preserve">, s.r.o. </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se sídlem Křižíkova 682/34a, Karlín, 186 00 Praha 8</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 xml:space="preserve">jejímž jménem jedná: Marie </w:t>
      </w:r>
      <w:proofErr w:type="spellStart"/>
      <w:r w:rsidRPr="0092287B">
        <w:rPr>
          <w:rFonts w:ascii="Times New Roman" w:hAnsi="Times New Roman"/>
          <w:sz w:val="24"/>
          <w:szCs w:val="24"/>
        </w:rPr>
        <w:t>Passburg</w:t>
      </w:r>
      <w:proofErr w:type="spellEnd"/>
      <w:r w:rsidRPr="0092287B">
        <w:rPr>
          <w:rFonts w:ascii="Times New Roman" w:hAnsi="Times New Roman"/>
          <w:sz w:val="24"/>
          <w:szCs w:val="24"/>
        </w:rPr>
        <w:t xml:space="preserve">, jednatel </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IČ: 24817597</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DIČ: CZ24817597 zapsaná v obchodním rejstříku vedeném Městským soudem v Praze, oddíl C, vložka 177057</w:t>
      </w: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(dále jen „Skanska“)</w:t>
      </w: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a</w:t>
      </w: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pStyle w:val="Nadpis1"/>
        <w:rPr>
          <w:rFonts w:ascii="Times New Roman" w:hAnsi="Times New Roman"/>
          <w:b w:val="0"/>
          <w:sz w:val="24"/>
          <w:szCs w:val="24"/>
        </w:rPr>
      </w:pPr>
      <w:r w:rsidRPr="0092287B">
        <w:rPr>
          <w:rFonts w:ascii="Times New Roman" w:hAnsi="Times New Roman"/>
          <w:b w:val="0"/>
          <w:sz w:val="24"/>
          <w:szCs w:val="24"/>
        </w:rPr>
        <w:t>Městská část Praha 4</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se sídlem Antala Staška 2059/80b, 140 46 Praha 4 - Krč</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IČ: 00063584</w:t>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 xml:space="preserve">Zastoupená: Mgr. Petrem </w:t>
      </w:r>
      <w:proofErr w:type="spellStart"/>
      <w:r w:rsidRPr="0092287B">
        <w:rPr>
          <w:rFonts w:ascii="Times New Roman" w:hAnsi="Times New Roman"/>
          <w:sz w:val="24"/>
          <w:szCs w:val="24"/>
        </w:rPr>
        <w:t>Štěpánkem,CSc</w:t>
      </w:r>
      <w:proofErr w:type="spellEnd"/>
      <w:r w:rsidRPr="0092287B">
        <w:rPr>
          <w:rFonts w:ascii="Times New Roman" w:hAnsi="Times New Roman"/>
          <w:sz w:val="24"/>
          <w:szCs w:val="24"/>
        </w:rPr>
        <w:t xml:space="preserve"> -  starostou</w:t>
      </w:r>
      <w:r w:rsidRPr="0092287B">
        <w:rPr>
          <w:rFonts w:ascii="Times New Roman" w:hAnsi="Times New Roman"/>
          <w:sz w:val="24"/>
          <w:szCs w:val="24"/>
        </w:rPr>
        <w:tab/>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ab/>
      </w: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(dále jen „MČ Praha 4“, Skanska a MČ Praha 4 dále také jako „smluvní strany“)</w:t>
      </w:r>
    </w:p>
    <w:p w:rsidR="0092287B" w:rsidRPr="0092287B" w:rsidRDefault="0092287B" w:rsidP="0092287B">
      <w:pPr>
        <w:tabs>
          <w:tab w:val="left" w:pos="1870"/>
        </w:tabs>
        <w:jc w:val="both"/>
        <w:rPr>
          <w:rFonts w:ascii="Times New Roman" w:hAnsi="Times New Roman"/>
          <w:bCs/>
          <w:sz w:val="24"/>
          <w:szCs w:val="24"/>
        </w:rPr>
      </w:pPr>
    </w:p>
    <w:p w:rsidR="0092287B" w:rsidRPr="0092287B" w:rsidRDefault="0092287B" w:rsidP="0092287B">
      <w:pPr>
        <w:tabs>
          <w:tab w:val="left" w:pos="1870"/>
        </w:tabs>
        <w:jc w:val="center"/>
        <w:rPr>
          <w:rFonts w:ascii="Times New Roman" w:hAnsi="Times New Roman"/>
          <w:b/>
          <w:bCs/>
          <w:sz w:val="24"/>
          <w:szCs w:val="24"/>
        </w:rPr>
      </w:pPr>
      <w:r w:rsidRPr="0092287B">
        <w:rPr>
          <w:rFonts w:ascii="Times New Roman" w:hAnsi="Times New Roman"/>
          <w:b/>
          <w:bCs/>
          <w:sz w:val="24"/>
          <w:szCs w:val="24"/>
        </w:rPr>
        <w:t>Preambule</w:t>
      </w:r>
    </w:p>
    <w:p w:rsidR="0092287B" w:rsidRPr="0092287B" w:rsidRDefault="0092287B" w:rsidP="0092287B">
      <w:pPr>
        <w:tabs>
          <w:tab w:val="left" w:pos="1870"/>
        </w:tabs>
        <w:jc w:val="both"/>
        <w:rPr>
          <w:rFonts w:ascii="Times New Roman" w:hAnsi="Times New Roman"/>
          <w:bCs/>
          <w:sz w:val="24"/>
          <w:szCs w:val="24"/>
        </w:rPr>
      </w:pP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bCs/>
          <w:sz w:val="24"/>
          <w:szCs w:val="24"/>
        </w:rPr>
        <w:t xml:space="preserve">Vzhledem k tomu, že: </w:t>
      </w:r>
    </w:p>
    <w:p w:rsidR="0092287B" w:rsidRPr="0092287B" w:rsidRDefault="0092287B" w:rsidP="0092287B">
      <w:pPr>
        <w:pStyle w:val="Zkladntext2"/>
        <w:numPr>
          <w:ilvl w:val="0"/>
          <w:numId w:val="39"/>
        </w:numPr>
        <w:tabs>
          <w:tab w:val="clear" w:pos="734"/>
          <w:tab w:val="num" w:pos="374"/>
          <w:tab w:val="left" w:pos="1870"/>
        </w:tabs>
        <w:spacing w:before="120"/>
        <w:ind w:left="368" w:hanging="357"/>
        <w:rPr>
          <w:b w:val="0"/>
          <w:szCs w:val="24"/>
        </w:rPr>
      </w:pPr>
      <w:r w:rsidRPr="0092287B">
        <w:rPr>
          <w:b w:val="0"/>
          <w:szCs w:val="24"/>
        </w:rPr>
        <w:t xml:space="preserve">Skanska je společností zabývající se vývojem administrativních projektů na území MČ Praha 4 v lokalitě Praha 4 – Pankrác a </w:t>
      </w:r>
    </w:p>
    <w:p w:rsidR="0092287B" w:rsidRPr="0092287B" w:rsidRDefault="0092287B" w:rsidP="0092287B">
      <w:pPr>
        <w:pStyle w:val="Zkladntext2"/>
        <w:numPr>
          <w:ilvl w:val="0"/>
          <w:numId w:val="39"/>
        </w:numPr>
        <w:tabs>
          <w:tab w:val="clear" w:pos="734"/>
          <w:tab w:val="num" w:pos="374"/>
          <w:tab w:val="left" w:pos="1870"/>
        </w:tabs>
        <w:spacing w:before="120"/>
        <w:ind w:left="368" w:hanging="357"/>
        <w:rPr>
          <w:b w:val="0"/>
          <w:szCs w:val="24"/>
        </w:rPr>
      </w:pPr>
      <w:r w:rsidRPr="0092287B">
        <w:rPr>
          <w:b w:val="0"/>
          <w:szCs w:val="24"/>
        </w:rPr>
        <w:t>Skanska a MČ Praha 4 mají zájem zejména na udržitelném rozvoji území Prahy 4, zlepšení místní infrastruktury, občanské vybavenosti a životní úrovně občanů.</w:t>
      </w:r>
    </w:p>
    <w:p w:rsidR="0092287B" w:rsidRPr="0092287B" w:rsidRDefault="0092287B" w:rsidP="0092287B">
      <w:pPr>
        <w:pStyle w:val="Zkladntext2"/>
        <w:spacing w:before="120"/>
        <w:rPr>
          <w:b w:val="0"/>
          <w:szCs w:val="24"/>
        </w:rPr>
      </w:pPr>
      <w:r w:rsidRPr="0092287B">
        <w:rPr>
          <w:b w:val="0"/>
          <w:szCs w:val="24"/>
        </w:rPr>
        <w:t xml:space="preserve"> </w:t>
      </w:r>
    </w:p>
    <w:p w:rsidR="0092287B" w:rsidRPr="0092287B" w:rsidRDefault="0092287B" w:rsidP="0092287B">
      <w:pPr>
        <w:rPr>
          <w:rFonts w:ascii="Times New Roman" w:hAnsi="Times New Roman"/>
          <w:sz w:val="24"/>
          <w:szCs w:val="24"/>
        </w:rPr>
      </w:pPr>
      <w:r w:rsidRPr="0092287B">
        <w:rPr>
          <w:rFonts w:ascii="Times New Roman" w:hAnsi="Times New Roman"/>
          <w:sz w:val="24"/>
          <w:szCs w:val="24"/>
        </w:rPr>
        <w:t xml:space="preserve">Za účelem spolupráce při rozvoji lokality Praha 4 – Pankrác Skanska a MČ Praha 4 uzavírají tuto smlouvu: </w:t>
      </w:r>
    </w:p>
    <w:p w:rsidR="0092287B" w:rsidRPr="0092287B" w:rsidRDefault="0092287B" w:rsidP="0092287B">
      <w:pPr>
        <w:tabs>
          <w:tab w:val="left" w:pos="1870"/>
        </w:tabs>
        <w:jc w:val="center"/>
        <w:rPr>
          <w:rFonts w:ascii="Times New Roman" w:hAnsi="Times New Roman"/>
          <w:bCs/>
          <w:sz w:val="24"/>
          <w:szCs w:val="24"/>
        </w:rPr>
      </w:pPr>
    </w:p>
    <w:p w:rsidR="005C6AD9" w:rsidRDefault="005C6AD9" w:rsidP="0092287B">
      <w:pPr>
        <w:tabs>
          <w:tab w:val="left" w:pos="1870"/>
        </w:tabs>
        <w:jc w:val="center"/>
        <w:rPr>
          <w:rFonts w:ascii="Times New Roman" w:hAnsi="Times New Roman"/>
          <w:bCs/>
          <w:sz w:val="24"/>
          <w:szCs w:val="24"/>
        </w:rPr>
      </w:pPr>
    </w:p>
    <w:p w:rsidR="005C6AD9" w:rsidRDefault="005C6AD9" w:rsidP="0092287B">
      <w:pPr>
        <w:tabs>
          <w:tab w:val="left" w:pos="1870"/>
        </w:tabs>
        <w:jc w:val="center"/>
        <w:rPr>
          <w:rFonts w:ascii="Times New Roman" w:hAnsi="Times New Roman"/>
          <w:bCs/>
          <w:sz w:val="24"/>
          <w:szCs w:val="24"/>
        </w:rPr>
      </w:pPr>
    </w:p>
    <w:p w:rsidR="0092287B" w:rsidRPr="00BB1349" w:rsidRDefault="0092287B" w:rsidP="0092287B">
      <w:pPr>
        <w:tabs>
          <w:tab w:val="left" w:pos="1870"/>
        </w:tabs>
        <w:jc w:val="center"/>
        <w:rPr>
          <w:rFonts w:ascii="Times New Roman" w:hAnsi="Times New Roman"/>
          <w:b/>
          <w:bCs/>
          <w:sz w:val="24"/>
          <w:szCs w:val="24"/>
        </w:rPr>
      </w:pPr>
      <w:r w:rsidRPr="00BB1349">
        <w:rPr>
          <w:rFonts w:ascii="Times New Roman" w:hAnsi="Times New Roman"/>
          <w:b/>
          <w:bCs/>
          <w:sz w:val="24"/>
          <w:szCs w:val="24"/>
        </w:rPr>
        <w:lastRenderedPageBreak/>
        <w:t>I.</w:t>
      </w:r>
    </w:p>
    <w:p w:rsidR="0092287B" w:rsidRPr="0092287B" w:rsidRDefault="0092287B" w:rsidP="0092287B">
      <w:pPr>
        <w:tabs>
          <w:tab w:val="left" w:pos="1870"/>
        </w:tabs>
        <w:jc w:val="center"/>
        <w:rPr>
          <w:rFonts w:ascii="Times New Roman" w:hAnsi="Times New Roman"/>
          <w:b/>
          <w:bCs/>
          <w:sz w:val="24"/>
          <w:szCs w:val="24"/>
        </w:rPr>
      </w:pPr>
      <w:r w:rsidRPr="0092287B">
        <w:rPr>
          <w:rFonts w:ascii="Times New Roman" w:hAnsi="Times New Roman"/>
          <w:b/>
          <w:bCs/>
          <w:sz w:val="24"/>
          <w:szCs w:val="24"/>
        </w:rPr>
        <w:t>Předmět smlouvy</w:t>
      </w:r>
    </w:p>
    <w:p w:rsidR="0092287B" w:rsidRPr="0092287B" w:rsidRDefault="0092287B" w:rsidP="0092287B">
      <w:pPr>
        <w:tabs>
          <w:tab w:val="left" w:pos="1870"/>
        </w:tabs>
        <w:jc w:val="center"/>
        <w:rPr>
          <w:rFonts w:ascii="Times New Roman" w:hAnsi="Times New Roman"/>
          <w:b/>
          <w:bCs/>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 xml:space="preserve">Skanska se zavazuje podle této smlouvy realizovat na své náklady na částech pozemků </w:t>
      </w:r>
      <w:proofErr w:type="spellStart"/>
      <w:r w:rsidRPr="0092287B">
        <w:rPr>
          <w:sz w:val="24"/>
          <w:szCs w:val="24"/>
        </w:rPr>
        <w:t>parc</w:t>
      </w:r>
      <w:proofErr w:type="spellEnd"/>
      <w:r w:rsidRPr="0092287B">
        <w:rPr>
          <w:sz w:val="24"/>
          <w:szCs w:val="24"/>
        </w:rPr>
        <w:t>. č. 2910/99 a 2910/207, vše v </w:t>
      </w:r>
      <w:proofErr w:type="spellStart"/>
      <w:proofErr w:type="gramStart"/>
      <w:r w:rsidRPr="0092287B">
        <w:rPr>
          <w:sz w:val="24"/>
          <w:szCs w:val="24"/>
        </w:rPr>
        <w:t>k.ú</w:t>
      </w:r>
      <w:proofErr w:type="spellEnd"/>
      <w:r w:rsidRPr="0092287B">
        <w:rPr>
          <w:sz w:val="24"/>
          <w:szCs w:val="24"/>
        </w:rPr>
        <w:t>.</w:t>
      </w:r>
      <w:proofErr w:type="gramEnd"/>
      <w:r w:rsidRPr="0092287B">
        <w:rPr>
          <w:sz w:val="24"/>
          <w:szCs w:val="24"/>
        </w:rPr>
        <w:t xml:space="preserve"> Nusle, obec Praha, které jsou ve vlastnictví Hlavního města Prahy, svěřené do správy MČ Praha 4, jak jsou specifikovány v příloze č. 1 této smlouvy, a předat do užívání MČ Praha 4 následující stavební práce spočívající ve zhotovení vodních prvků včetně parkových úprav. Vodní prvky jsou vodním dílem povolovaným vodoprávním úřadem. Jedná se o fontány řešené jako dlážděné plochy v úrovni okolních chodníků s tryskami, umožňující rozličné programy jejich provozu. Kromě zlepšení mikroklimatu parku v horkých letních měsících nabízejí veřejně přístupné plochy fontán zábavu dětem i dospělým. V období, kdy fontány nejsou v provozu, působí dlážděné plochy stále kultivovaně</w:t>
      </w:r>
      <w:r w:rsidRPr="0092287B">
        <w:rPr>
          <w:i/>
          <w:sz w:val="24"/>
          <w:szCs w:val="24"/>
        </w:rPr>
        <w:t xml:space="preserve"> </w:t>
      </w:r>
      <w:r w:rsidRPr="0092287B">
        <w:rPr>
          <w:sz w:val="24"/>
          <w:szCs w:val="24"/>
        </w:rPr>
        <w:t>(dále jen „vodní prvky“).</w:t>
      </w:r>
    </w:p>
    <w:p w:rsidR="0092287B" w:rsidRPr="0092287B" w:rsidRDefault="0092287B" w:rsidP="0092287B">
      <w:pPr>
        <w:jc w:val="both"/>
        <w:rPr>
          <w:rFonts w:ascii="Times New Roman" w:hAnsi="Times New Roman"/>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MČ Praha 4 vodní prvky za podmínek uvedených v této smlouvě přijímá.</w:t>
      </w:r>
    </w:p>
    <w:p w:rsidR="0092287B" w:rsidRPr="0092287B" w:rsidRDefault="0092287B" w:rsidP="0092287B">
      <w:pPr>
        <w:pStyle w:val="Odstavecseseznamem"/>
        <w:jc w:val="both"/>
        <w:rPr>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 xml:space="preserve">MČ Praha 4 touto smlouvou dává Skanska souhlas k tomu, aby stavební práce, které jsou předmětem této smlouvy na pozemcích uvedených v článku I. odstavci 1. této smlouvy provedla, tj. zhotovila vodní prvky a provedla parkové úpravy. MČ Praha 4 se zavazuje poskytnout Skanska potřebnou součinnost k tomu, aby mohla stavební práce provést. </w:t>
      </w:r>
    </w:p>
    <w:p w:rsidR="0092287B" w:rsidRPr="0092287B" w:rsidRDefault="0092287B" w:rsidP="0092287B">
      <w:pPr>
        <w:pStyle w:val="Odstavecseseznamem"/>
        <w:rPr>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 xml:space="preserve">Pokud Rada MČ Praha 4 svým usnesením schválí tuto smlouvu do </w:t>
      </w:r>
      <w:proofErr w:type="gramStart"/>
      <w:r w:rsidRPr="0092287B">
        <w:rPr>
          <w:sz w:val="24"/>
          <w:szCs w:val="24"/>
        </w:rPr>
        <w:t>31.8.2016</w:t>
      </w:r>
      <w:proofErr w:type="gramEnd"/>
      <w:r w:rsidRPr="0092287B">
        <w:rPr>
          <w:sz w:val="24"/>
          <w:szCs w:val="24"/>
        </w:rPr>
        <w:t xml:space="preserve">, zavazuje se Skanska podat žádost o rozhodnutí, kterým se umísťují a povolují vodní prvky v rozsahu situace vodních prvků v příloze č. 1 této smlouvy, na příslušný stavební úřad do 31.1.2017. Skanska se dále zavazuje předložit projektovou dokumentaci k vodním prvkům MČ Praha 4 k odsouhlasení a zhotovit vodní prvky dle čl. I odst. 1 této smlouvy v souladu s platnými právními předpisy. </w:t>
      </w:r>
    </w:p>
    <w:p w:rsidR="0092287B" w:rsidRPr="0092287B" w:rsidRDefault="0092287B" w:rsidP="0092287B">
      <w:pPr>
        <w:pStyle w:val="Odstavecseseznamem"/>
        <w:rPr>
          <w:sz w:val="24"/>
          <w:szCs w:val="24"/>
        </w:rPr>
      </w:pPr>
    </w:p>
    <w:p w:rsidR="0092287B" w:rsidRPr="0092287B" w:rsidRDefault="0092287B" w:rsidP="0092287B">
      <w:pPr>
        <w:pStyle w:val="Zkladntext2"/>
        <w:numPr>
          <w:ilvl w:val="0"/>
          <w:numId w:val="40"/>
        </w:numPr>
        <w:tabs>
          <w:tab w:val="left" w:pos="1870"/>
        </w:tabs>
        <w:spacing w:before="120"/>
        <w:rPr>
          <w:b w:val="0"/>
          <w:szCs w:val="24"/>
        </w:rPr>
      </w:pPr>
      <w:r w:rsidRPr="0092287B">
        <w:rPr>
          <w:b w:val="0"/>
          <w:szCs w:val="24"/>
        </w:rPr>
        <w:t>Finální podoba vodních prvků včetně parkových úprav bude odpovídat situaci, která tvoří přílohu č. 1 této smlouvy.</w:t>
      </w:r>
    </w:p>
    <w:p w:rsidR="0092287B" w:rsidRPr="0092287B" w:rsidRDefault="0092287B" w:rsidP="0092287B">
      <w:pPr>
        <w:jc w:val="both"/>
        <w:rPr>
          <w:rFonts w:ascii="Times New Roman" w:hAnsi="Times New Roman"/>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Skanska se zavazuje vodní prvky zhotovit do 4 měsíců od nabytí právní moci stavebního povolení k vodním prvkům a bez zbytečného odkladu, tj. nejpozději do osmi pracovních dnů ode dne vydání kolaudačního souhlasu příslušným stavebním úřadem, vodní prvky ve stavu způsobilém řádnému užívání včetně dokumentace skutečného provedení předat MČ Praha</w:t>
      </w:r>
      <w:r w:rsidR="005C6AD9">
        <w:rPr>
          <w:sz w:val="24"/>
          <w:szCs w:val="24"/>
        </w:rPr>
        <w:t xml:space="preserve"> 4. MČ Praha 4 </w:t>
      </w:r>
      <w:r w:rsidRPr="0092287B">
        <w:rPr>
          <w:sz w:val="24"/>
          <w:szCs w:val="24"/>
        </w:rPr>
        <w:t>se zavazuje vodní prvky v této lhůtě od Skanska převzít a umožnit veřejnosti jejich užívání. O předání a převzetí vodních prvků smluvní strany sepíší předávací protokol, jehož součástí bude rovněž návod užívání vodních prvků. Skanska poskytuje záruku na zhotovené stavby vodních prvků na dobu 36 měsíců ode dne vydání kolaudačního souhlasu příslušným stavebním úřadem.</w:t>
      </w:r>
    </w:p>
    <w:p w:rsidR="0092287B" w:rsidRPr="0092287B" w:rsidRDefault="0092287B" w:rsidP="0092287B">
      <w:pPr>
        <w:pStyle w:val="Odstavecseseznamem"/>
        <w:ind w:left="644"/>
        <w:jc w:val="both"/>
        <w:rPr>
          <w:sz w:val="24"/>
          <w:szCs w:val="24"/>
        </w:rPr>
      </w:pPr>
    </w:p>
    <w:p w:rsidR="0092287B" w:rsidRPr="0092287B" w:rsidRDefault="0092287B" w:rsidP="0092287B">
      <w:pPr>
        <w:pStyle w:val="Odstavecseseznamem"/>
        <w:numPr>
          <w:ilvl w:val="0"/>
          <w:numId w:val="40"/>
        </w:numPr>
        <w:contextualSpacing/>
        <w:jc w:val="both"/>
        <w:rPr>
          <w:sz w:val="24"/>
          <w:szCs w:val="24"/>
        </w:rPr>
      </w:pPr>
      <w:r w:rsidRPr="0092287B">
        <w:rPr>
          <w:sz w:val="24"/>
          <w:szCs w:val="24"/>
        </w:rPr>
        <w:t>Smluvní strany prohlašují, že v souladu s platnou legislativou se vodní prvky stávají součástí pozemků, na nichž se nachází, a jsou tak ve vlastnictví vlastníka pozemků.</w:t>
      </w:r>
    </w:p>
    <w:p w:rsidR="0092287B" w:rsidRPr="0092287B" w:rsidRDefault="0092287B" w:rsidP="0092287B">
      <w:pPr>
        <w:rPr>
          <w:rFonts w:ascii="Times New Roman" w:hAnsi="Times New Roman"/>
          <w:sz w:val="24"/>
          <w:szCs w:val="24"/>
        </w:rPr>
      </w:pPr>
    </w:p>
    <w:p w:rsidR="005C6AD9" w:rsidRDefault="005C6AD9" w:rsidP="0092287B">
      <w:pPr>
        <w:tabs>
          <w:tab w:val="left" w:pos="1870"/>
        </w:tabs>
        <w:jc w:val="center"/>
        <w:rPr>
          <w:rFonts w:ascii="Times New Roman" w:hAnsi="Times New Roman"/>
          <w:b/>
          <w:bCs/>
          <w:sz w:val="24"/>
          <w:szCs w:val="24"/>
        </w:rPr>
      </w:pPr>
    </w:p>
    <w:p w:rsidR="005C6AD9" w:rsidRDefault="005C6AD9" w:rsidP="0092287B">
      <w:pPr>
        <w:tabs>
          <w:tab w:val="left" w:pos="1870"/>
        </w:tabs>
        <w:jc w:val="center"/>
        <w:rPr>
          <w:rFonts w:ascii="Times New Roman" w:hAnsi="Times New Roman"/>
          <w:b/>
          <w:bCs/>
          <w:sz w:val="24"/>
          <w:szCs w:val="24"/>
        </w:rPr>
      </w:pPr>
    </w:p>
    <w:p w:rsidR="005C6AD9" w:rsidRDefault="005C6AD9" w:rsidP="0092287B">
      <w:pPr>
        <w:tabs>
          <w:tab w:val="left" w:pos="1870"/>
        </w:tabs>
        <w:jc w:val="center"/>
        <w:rPr>
          <w:rFonts w:ascii="Times New Roman" w:hAnsi="Times New Roman"/>
          <w:b/>
          <w:bCs/>
          <w:sz w:val="24"/>
          <w:szCs w:val="24"/>
        </w:rPr>
      </w:pPr>
    </w:p>
    <w:p w:rsidR="0092287B" w:rsidRPr="0092287B" w:rsidRDefault="0092287B" w:rsidP="0092287B">
      <w:pPr>
        <w:tabs>
          <w:tab w:val="left" w:pos="1870"/>
        </w:tabs>
        <w:jc w:val="center"/>
        <w:rPr>
          <w:rFonts w:ascii="Times New Roman" w:hAnsi="Times New Roman"/>
          <w:b/>
          <w:bCs/>
          <w:sz w:val="24"/>
          <w:szCs w:val="24"/>
        </w:rPr>
      </w:pPr>
      <w:r w:rsidRPr="0092287B">
        <w:rPr>
          <w:rFonts w:ascii="Times New Roman" w:hAnsi="Times New Roman"/>
          <w:b/>
          <w:bCs/>
          <w:sz w:val="24"/>
          <w:szCs w:val="24"/>
        </w:rPr>
        <w:lastRenderedPageBreak/>
        <w:t>II.</w:t>
      </w:r>
    </w:p>
    <w:p w:rsidR="0092287B" w:rsidRPr="0092287B" w:rsidRDefault="0092287B" w:rsidP="0092287B">
      <w:pPr>
        <w:tabs>
          <w:tab w:val="left" w:pos="1870"/>
        </w:tabs>
        <w:jc w:val="center"/>
        <w:rPr>
          <w:rFonts w:ascii="Times New Roman" w:hAnsi="Times New Roman"/>
          <w:b/>
          <w:bCs/>
          <w:sz w:val="24"/>
          <w:szCs w:val="24"/>
        </w:rPr>
      </w:pPr>
      <w:r w:rsidRPr="0092287B">
        <w:rPr>
          <w:rFonts w:ascii="Times New Roman" w:hAnsi="Times New Roman"/>
          <w:b/>
          <w:bCs/>
          <w:sz w:val="24"/>
          <w:szCs w:val="24"/>
        </w:rPr>
        <w:t>Ostatní ujednání</w:t>
      </w:r>
    </w:p>
    <w:p w:rsidR="0092287B" w:rsidRPr="0092287B" w:rsidRDefault="0092287B" w:rsidP="0092287B">
      <w:pPr>
        <w:tabs>
          <w:tab w:val="left" w:pos="1870"/>
        </w:tabs>
        <w:jc w:val="center"/>
        <w:rPr>
          <w:rFonts w:ascii="Times New Roman" w:hAnsi="Times New Roman"/>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Veškeré změny a doplňky k této smlouvě musí být provedeny formou písemných dodatků podepsaných oprávněnými zástupci obou smluvních stran.</w:t>
      </w:r>
    </w:p>
    <w:p w:rsidR="0092287B" w:rsidRPr="0092287B" w:rsidRDefault="0092287B" w:rsidP="0092287B">
      <w:pPr>
        <w:pStyle w:val="Odstavecseseznamem"/>
        <w:jc w:val="both"/>
        <w:rPr>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92287B" w:rsidRPr="0092287B" w:rsidRDefault="0092287B" w:rsidP="0092287B">
      <w:pPr>
        <w:pStyle w:val="Odstavecseseznamem"/>
        <w:jc w:val="both"/>
        <w:rPr>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 xml:space="preserve">Smlouva nabývá platnosti a účinnosti dnem jejího podpisu oběma smluvními stranami. MČ Praha 4 uveřejní tuto smlouvu v registru smluv a o datu uveřejnění vyrozumí Skanska. </w:t>
      </w:r>
      <w:r w:rsidRPr="0092287B">
        <w:rPr>
          <w:i/>
          <w:sz w:val="24"/>
          <w:szCs w:val="24"/>
        </w:rPr>
        <w:t xml:space="preserve">(Poznámka: Pokud bude smlouva uzavřena po </w:t>
      </w:r>
      <w:proofErr w:type="gramStart"/>
      <w:r w:rsidRPr="0092287B">
        <w:rPr>
          <w:i/>
          <w:sz w:val="24"/>
          <w:szCs w:val="24"/>
        </w:rPr>
        <w:t>30.6.2017</w:t>
      </w:r>
      <w:proofErr w:type="gramEnd"/>
      <w:r w:rsidRPr="0092287B">
        <w:rPr>
          <w:i/>
          <w:sz w:val="24"/>
          <w:szCs w:val="24"/>
        </w:rPr>
        <w:t>, její účinnost nastane až dnem jejího zveřejnění v registru smluv).</w:t>
      </w:r>
    </w:p>
    <w:p w:rsidR="0092287B" w:rsidRPr="0092287B" w:rsidRDefault="0092287B" w:rsidP="0092287B">
      <w:pPr>
        <w:pStyle w:val="Odstavecseseznamem"/>
        <w:rPr>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Smlouva je vyhotovena ve třech stejnopisech s platností originálu, z nichž dva výtisky obdrží MČ Praha 4 a jeden výtisk Skanska.</w:t>
      </w:r>
    </w:p>
    <w:p w:rsidR="0092287B" w:rsidRPr="0092287B" w:rsidRDefault="0092287B" w:rsidP="0092287B">
      <w:pPr>
        <w:pStyle w:val="Odstavecseseznamem"/>
        <w:rPr>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Smluvní strany prohlašují, že si smlouvu přečetly, porozuměly jejímu obsahu, souhlasí s ním, a že smlouva je sepsána určitě, vážně a dle jejich pravé vůle prosté omylu, což stvrzují svými podpisy.</w:t>
      </w:r>
    </w:p>
    <w:p w:rsidR="0092287B" w:rsidRPr="0092287B" w:rsidRDefault="0092287B" w:rsidP="0092287B">
      <w:pPr>
        <w:pStyle w:val="Odstavecseseznamem"/>
        <w:jc w:val="both"/>
        <w:rPr>
          <w:sz w:val="24"/>
          <w:szCs w:val="24"/>
        </w:rPr>
      </w:pPr>
    </w:p>
    <w:p w:rsidR="0092287B" w:rsidRPr="0092287B" w:rsidRDefault="0092287B" w:rsidP="005C6AD9">
      <w:pPr>
        <w:pStyle w:val="Odstavecseseznamem"/>
        <w:numPr>
          <w:ilvl w:val="0"/>
          <w:numId w:val="41"/>
        </w:numPr>
        <w:ind w:hanging="436"/>
        <w:contextualSpacing/>
        <w:jc w:val="both"/>
        <w:rPr>
          <w:sz w:val="24"/>
          <w:szCs w:val="24"/>
        </w:rPr>
      </w:pPr>
      <w:r w:rsidRPr="0092287B">
        <w:rPr>
          <w:sz w:val="24"/>
          <w:szCs w:val="24"/>
        </w:rPr>
        <w:t>Nedílnou součást této smlouvy tvoří následující přílohy:</w:t>
      </w:r>
    </w:p>
    <w:p w:rsidR="0092287B" w:rsidRPr="0092287B" w:rsidRDefault="0092287B" w:rsidP="0092287B">
      <w:pPr>
        <w:ind w:firstLine="720"/>
        <w:jc w:val="both"/>
        <w:rPr>
          <w:rFonts w:ascii="Times New Roman" w:hAnsi="Times New Roman"/>
          <w:sz w:val="24"/>
          <w:szCs w:val="24"/>
        </w:rPr>
      </w:pPr>
      <w:r w:rsidRPr="0092287B">
        <w:rPr>
          <w:rFonts w:ascii="Times New Roman" w:hAnsi="Times New Roman"/>
          <w:sz w:val="24"/>
          <w:szCs w:val="24"/>
        </w:rPr>
        <w:t xml:space="preserve">Příloha </w:t>
      </w:r>
      <w:proofErr w:type="gramStart"/>
      <w:r w:rsidRPr="0092287B">
        <w:rPr>
          <w:rFonts w:ascii="Times New Roman" w:hAnsi="Times New Roman"/>
          <w:sz w:val="24"/>
          <w:szCs w:val="24"/>
        </w:rPr>
        <w:t>č.1 – situace</w:t>
      </w:r>
      <w:proofErr w:type="gramEnd"/>
      <w:r w:rsidRPr="0092287B">
        <w:rPr>
          <w:rFonts w:ascii="Times New Roman" w:hAnsi="Times New Roman"/>
          <w:sz w:val="24"/>
          <w:szCs w:val="24"/>
        </w:rPr>
        <w:t xml:space="preserve"> vodních prvků</w:t>
      </w:r>
    </w:p>
    <w:p w:rsidR="0092287B" w:rsidRPr="0092287B" w:rsidRDefault="0092287B" w:rsidP="0092287B">
      <w:pPr>
        <w:ind w:firstLine="720"/>
        <w:jc w:val="both"/>
        <w:rPr>
          <w:rFonts w:ascii="Times New Roman" w:hAnsi="Times New Roman"/>
          <w:sz w:val="24"/>
          <w:szCs w:val="24"/>
        </w:rPr>
      </w:pPr>
    </w:p>
    <w:p w:rsidR="0092287B" w:rsidRPr="0092287B" w:rsidRDefault="0092287B" w:rsidP="0092287B">
      <w:pPr>
        <w:tabs>
          <w:tab w:val="left" w:pos="1870"/>
        </w:tabs>
        <w:ind w:left="374"/>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s>
        <w:rPr>
          <w:rFonts w:ascii="Times New Roman" w:hAnsi="Times New Roman"/>
          <w:sz w:val="24"/>
          <w:szCs w:val="24"/>
        </w:rPr>
      </w:pPr>
      <w:r w:rsidRPr="0092287B">
        <w:rPr>
          <w:rFonts w:ascii="Times New Roman" w:hAnsi="Times New Roman"/>
          <w:sz w:val="24"/>
          <w:szCs w:val="24"/>
        </w:rPr>
        <w:t>V Praze dne:</w:t>
      </w:r>
      <w:r w:rsidRPr="0092287B">
        <w:rPr>
          <w:rFonts w:ascii="Times New Roman" w:hAnsi="Times New Roman"/>
          <w:sz w:val="24"/>
          <w:szCs w:val="24"/>
        </w:rPr>
        <w:tab/>
      </w:r>
      <w:r w:rsidRPr="0092287B">
        <w:rPr>
          <w:rFonts w:ascii="Times New Roman" w:hAnsi="Times New Roman"/>
          <w:sz w:val="24"/>
          <w:szCs w:val="24"/>
        </w:rPr>
        <w:tab/>
      </w:r>
      <w:r w:rsidRPr="0092287B">
        <w:rPr>
          <w:rFonts w:ascii="Times New Roman" w:hAnsi="Times New Roman"/>
          <w:sz w:val="24"/>
          <w:szCs w:val="24"/>
        </w:rPr>
        <w:tab/>
      </w:r>
      <w:r w:rsidRPr="0092287B">
        <w:rPr>
          <w:rFonts w:ascii="Times New Roman" w:hAnsi="Times New Roman"/>
          <w:sz w:val="24"/>
          <w:szCs w:val="24"/>
        </w:rPr>
        <w:tab/>
      </w:r>
      <w:r w:rsidRPr="0092287B">
        <w:rPr>
          <w:rFonts w:ascii="Times New Roman" w:hAnsi="Times New Roman"/>
          <w:sz w:val="24"/>
          <w:szCs w:val="24"/>
        </w:rPr>
        <w:tab/>
      </w:r>
      <w:r w:rsidRPr="0092287B">
        <w:rPr>
          <w:rFonts w:ascii="Times New Roman" w:hAnsi="Times New Roman"/>
          <w:sz w:val="24"/>
          <w:szCs w:val="24"/>
        </w:rPr>
        <w:tab/>
      </w:r>
      <w:r w:rsidRPr="0092287B">
        <w:rPr>
          <w:rFonts w:ascii="Times New Roman" w:hAnsi="Times New Roman"/>
          <w:sz w:val="24"/>
          <w:szCs w:val="24"/>
        </w:rPr>
        <w:tab/>
        <w:t>V Praze dne:</w:t>
      </w:r>
    </w:p>
    <w:p w:rsidR="0092287B" w:rsidRPr="0092287B" w:rsidRDefault="0092287B" w:rsidP="0092287B">
      <w:pPr>
        <w:tabs>
          <w:tab w:val="left" w:pos="1870"/>
        </w:tabs>
        <w:rPr>
          <w:rFonts w:ascii="Times New Roman" w:hAnsi="Times New Roman"/>
          <w:sz w:val="24"/>
          <w:szCs w:val="24"/>
        </w:rPr>
      </w:pPr>
    </w:p>
    <w:p w:rsidR="0092287B" w:rsidRPr="0092287B" w:rsidRDefault="0092287B" w:rsidP="0092287B">
      <w:pPr>
        <w:tabs>
          <w:tab w:val="left" w:pos="1870"/>
          <w:tab w:val="left" w:pos="5610"/>
        </w:tabs>
        <w:rPr>
          <w:rFonts w:ascii="Times New Roman" w:hAnsi="Times New Roman"/>
          <w:sz w:val="24"/>
          <w:szCs w:val="24"/>
        </w:rPr>
      </w:pPr>
      <w:r w:rsidRPr="0092287B">
        <w:rPr>
          <w:rFonts w:ascii="Times New Roman" w:hAnsi="Times New Roman"/>
          <w:sz w:val="24"/>
          <w:szCs w:val="24"/>
        </w:rPr>
        <w:t>.</w:t>
      </w:r>
      <w:r w:rsidRPr="0092287B">
        <w:rPr>
          <w:rFonts w:ascii="Times New Roman" w:hAnsi="Times New Roman"/>
          <w:sz w:val="24"/>
          <w:szCs w:val="24"/>
        </w:rPr>
        <w:tab/>
      </w:r>
      <w:r w:rsidRPr="0092287B">
        <w:rPr>
          <w:rFonts w:ascii="Times New Roman" w:hAnsi="Times New Roman"/>
          <w:sz w:val="24"/>
          <w:szCs w:val="24"/>
        </w:rPr>
        <w:tab/>
      </w:r>
    </w:p>
    <w:p w:rsidR="0092287B" w:rsidRPr="0092287B" w:rsidRDefault="0092287B" w:rsidP="0092287B">
      <w:pPr>
        <w:tabs>
          <w:tab w:val="left" w:pos="1870"/>
          <w:tab w:val="left" w:pos="5610"/>
        </w:tabs>
        <w:rPr>
          <w:rFonts w:ascii="Times New Roman" w:hAnsi="Times New Roman"/>
          <w:sz w:val="24"/>
          <w:szCs w:val="24"/>
        </w:rPr>
      </w:pPr>
    </w:p>
    <w:p w:rsidR="0092287B" w:rsidRPr="0092287B" w:rsidRDefault="0092287B" w:rsidP="0092287B">
      <w:pPr>
        <w:tabs>
          <w:tab w:val="left" w:pos="1870"/>
          <w:tab w:val="left" w:pos="5610"/>
        </w:tabs>
        <w:rPr>
          <w:rFonts w:ascii="Times New Roman" w:hAnsi="Times New Roman"/>
          <w:sz w:val="24"/>
          <w:szCs w:val="24"/>
        </w:rPr>
      </w:pPr>
    </w:p>
    <w:p w:rsidR="0092287B" w:rsidRPr="0092287B" w:rsidRDefault="0092287B" w:rsidP="0092287B">
      <w:pPr>
        <w:tabs>
          <w:tab w:val="left" w:pos="1870"/>
          <w:tab w:val="left" w:pos="5610"/>
        </w:tabs>
        <w:rPr>
          <w:rFonts w:ascii="Times New Roman" w:hAnsi="Times New Roman"/>
          <w:sz w:val="24"/>
          <w:szCs w:val="24"/>
        </w:rPr>
      </w:pPr>
    </w:p>
    <w:p w:rsidR="0092287B" w:rsidRPr="0092287B" w:rsidRDefault="0092287B" w:rsidP="0092287B">
      <w:pPr>
        <w:tabs>
          <w:tab w:val="left" w:pos="1870"/>
          <w:tab w:val="left" w:pos="5610"/>
        </w:tabs>
        <w:rPr>
          <w:rFonts w:ascii="Times New Roman" w:hAnsi="Times New Roman"/>
          <w:sz w:val="24"/>
          <w:szCs w:val="24"/>
        </w:rPr>
      </w:pPr>
      <w:r w:rsidRPr="0092287B">
        <w:rPr>
          <w:rFonts w:ascii="Times New Roman" w:hAnsi="Times New Roman"/>
          <w:sz w:val="24"/>
          <w:szCs w:val="24"/>
        </w:rPr>
        <w:t>…………………………………….</w:t>
      </w:r>
      <w:r w:rsidRPr="0092287B">
        <w:rPr>
          <w:rFonts w:ascii="Times New Roman" w:hAnsi="Times New Roman"/>
          <w:sz w:val="24"/>
          <w:szCs w:val="24"/>
        </w:rPr>
        <w:tab/>
        <w:t>…………………………………….</w:t>
      </w:r>
    </w:p>
    <w:p w:rsidR="0092287B" w:rsidRPr="0092287B" w:rsidRDefault="0092287B" w:rsidP="0092287B">
      <w:pPr>
        <w:tabs>
          <w:tab w:val="left" w:pos="1870"/>
          <w:tab w:val="left" w:pos="5610"/>
        </w:tabs>
        <w:rPr>
          <w:rFonts w:ascii="Times New Roman" w:hAnsi="Times New Roman"/>
          <w:sz w:val="24"/>
          <w:szCs w:val="24"/>
        </w:rPr>
      </w:pPr>
      <w:r w:rsidRPr="0092287B">
        <w:rPr>
          <w:rFonts w:ascii="Times New Roman" w:hAnsi="Times New Roman"/>
          <w:sz w:val="24"/>
          <w:szCs w:val="24"/>
        </w:rPr>
        <w:t xml:space="preserve">Skanska Epsilon Project </w:t>
      </w:r>
      <w:proofErr w:type="spellStart"/>
      <w:r w:rsidRPr="0092287B">
        <w:rPr>
          <w:rFonts w:ascii="Times New Roman" w:hAnsi="Times New Roman"/>
          <w:sz w:val="24"/>
          <w:szCs w:val="24"/>
        </w:rPr>
        <w:t>Company</w:t>
      </w:r>
      <w:proofErr w:type="spellEnd"/>
      <w:r w:rsidRPr="0092287B">
        <w:rPr>
          <w:rFonts w:ascii="Times New Roman" w:hAnsi="Times New Roman"/>
          <w:sz w:val="24"/>
          <w:szCs w:val="24"/>
        </w:rPr>
        <w:t>, s.r.o.</w:t>
      </w:r>
      <w:r w:rsidRPr="0092287B">
        <w:rPr>
          <w:rFonts w:ascii="Times New Roman" w:hAnsi="Times New Roman"/>
          <w:sz w:val="24"/>
          <w:szCs w:val="24"/>
        </w:rPr>
        <w:tab/>
      </w:r>
      <w:r w:rsidRPr="0092287B">
        <w:rPr>
          <w:rFonts w:ascii="Times New Roman" w:hAnsi="Times New Roman"/>
          <w:sz w:val="24"/>
          <w:szCs w:val="24"/>
        </w:rPr>
        <w:tab/>
        <w:t>Městská část Praha 4</w:t>
      </w:r>
    </w:p>
    <w:p w:rsidR="0092287B" w:rsidRPr="0092287B" w:rsidRDefault="0092287B" w:rsidP="0092287B">
      <w:pPr>
        <w:spacing w:after="160" w:line="259" w:lineRule="auto"/>
        <w:rPr>
          <w:rFonts w:ascii="Times New Roman" w:hAnsi="Times New Roman"/>
          <w:sz w:val="24"/>
          <w:szCs w:val="24"/>
        </w:rPr>
      </w:pPr>
      <w:r w:rsidRPr="0092287B">
        <w:rPr>
          <w:rFonts w:ascii="Times New Roman" w:hAnsi="Times New Roman"/>
          <w:sz w:val="24"/>
          <w:szCs w:val="24"/>
        </w:rPr>
        <w:t xml:space="preserve">Marie </w:t>
      </w:r>
      <w:proofErr w:type="spellStart"/>
      <w:r w:rsidRPr="0092287B">
        <w:rPr>
          <w:rFonts w:ascii="Times New Roman" w:hAnsi="Times New Roman"/>
          <w:sz w:val="24"/>
          <w:szCs w:val="24"/>
        </w:rPr>
        <w:t>Passburg</w:t>
      </w:r>
      <w:proofErr w:type="spellEnd"/>
      <w:r w:rsidRPr="0092287B">
        <w:rPr>
          <w:rFonts w:ascii="Times New Roman" w:hAnsi="Times New Roman"/>
          <w:sz w:val="24"/>
          <w:szCs w:val="24"/>
        </w:rPr>
        <w:t>, jedna</w:t>
      </w:r>
      <w:r w:rsidR="005C6AD9">
        <w:rPr>
          <w:rFonts w:ascii="Times New Roman" w:hAnsi="Times New Roman"/>
          <w:sz w:val="24"/>
          <w:szCs w:val="24"/>
        </w:rPr>
        <w:t>tel</w:t>
      </w:r>
      <w:r w:rsidR="005C6AD9">
        <w:rPr>
          <w:rFonts w:ascii="Times New Roman" w:hAnsi="Times New Roman"/>
          <w:sz w:val="24"/>
          <w:szCs w:val="24"/>
        </w:rPr>
        <w:tab/>
      </w:r>
      <w:r w:rsidR="005C6AD9">
        <w:rPr>
          <w:rFonts w:ascii="Times New Roman" w:hAnsi="Times New Roman"/>
          <w:sz w:val="24"/>
          <w:szCs w:val="24"/>
        </w:rPr>
        <w:tab/>
      </w:r>
      <w:r w:rsidR="005C6AD9">
        <w:rPr>
          <w:rFonts w:ascii="Times New Roman" w:hAnsi="Times New Roman"/>
          <w:sz w:val="24"/>
          <w:szCs w:val="24"/>
        </w:rPr>
        <w:tab/>
      </w:r>
      <w:r w:rsidR="005C6AD9">
        <w:rPr>
          <w:rFonts w:ascii="Times New Roman" w:hAnsi="Times New Roman"/>
          <w:sz w:val="24"/>
          <w:szCs w:val="24"/>
        </w:rPr>
        <w:tab/>
      </w:r>
      <w:r w:rsidR="005C6AD9">
        <w:rPr>
          <w:rFonts w:ascii="Times New Roman" w:hAnsi="Times New Roman"/>
          <w:sz w:val="24"/>
          <w:szCs w:val="24"/>
        </w:rPr>
        <w:tab/>
        <w:t xml:space="preserve">Mgr. Petr </w:t>
      </w:r>
      <w:proofErr w:type="spellStart"/>
      <w:proofErr w:type="gramStart"/>
      <w:r w:rsidR="005C6AD9">
        <w:rPr>
          <w:rFonts w:ascii="Times New Roman" w:hAnsi="Times New Roman"/>
          <w:sz w:val="24"/>
          <w:szCs w:val="24"/>
        </w:rPr>
        <w:t>Štěpánek,CSc</w:t>
      </w:r>
      <w:proofErr w:type="spellEnd"/>
      <w:r w:rsidR="005C6AD9">
        <w:rPr>
          <w:rFonts w:ascii="Times New Roman" w:hAnsi="Times New Roman"/>
          <w:sz w:val="24"/>
          <w:szCs w:val="24"/>
        </w:rPr>
        <w:t>.</w:t>
      </w:r>
      <w:proofErr w:type="gramEnd"/>
      <w:r w:rsidR="005C6AD9">
        <w:rPr>
          <w:rFonts w:ascii="Times New Roman" w:hAnsi="Times New Roman"/>
          <w:sz w:val="24"/>
          <w:szCs w:val="24"/>
        </w:rPr>
        <w:t>,</w:t>
      </w:r>
      <w:r w:rsidRPr="0092287B">
        <w:rPr>
          <w:rFonts w:ascii="Times New Roman" w:hAnsi="Times New Roman"/>
          <w:sz w:val="24"/>
          <w:szCs w:val="24"/>
        </w:rPr>
        <w:t xml:space="preserve"> starosta</w:t>
      </w:r>
    </w:p>
    <w:p w:rsidR="0092287B" w:rsidRPr="0092287B" w:rsidRDefault="0092287B" w:rsidP="0092287B">
      <w:pPr>
        <w:spacing w:after="160" w:line="259" w:lineRule="auto"/>
        <w:rPr>
          <w:rFonts w:ascii="Times New Roman" w:hAnsi="Times New Roman"/>
          <w:sz w:val="24"/>
          <w:szCs w:val="24"/>
        </w:rPr>
      </w:pPr>
    </w:p>
    <w:p w:rsidR="0092287B" w:rsidRPr="0092287B" w:rsidRDefault="0092287B" w:rsidP="0092287B">
      <w:pPr>
        <w:rPr>
          <w:rFonts w:ascii="Times New Roman" w:hAnsi="Times New Roman"/>
          <w:sz w:val="24"/>
          <w:szCs w:val="24"/>
        </w:rPr>
      </w:pPr>
    </w:p>
    <w:p w:rsidR="0092287B" w:rsidRPr="0092287B" w:rsidRDefault="0092287B" w:rsidP="0092287B">
      <w:pPr>
        <w:pStyle w:val="Zhlav"/>
        <w:tabs>
          <w:tab w:val="clear" w:pos="4536"/>
          <w:tab w:val="clear" w:pos="9072"/>
        </w:tabs>
        <w:rPr>
          <w:rFonts w:ascii="Times New Roman" w:hAnsi="Times New Roman"/>
          <w:sz w:val="24"/>
          <w:szCs w:val="24"/>
        </w:rPr>
      </w:pPr>
    </w:p>
    <w:p w:rsidR="0092287B" w:rsidRPr="0092287B" w:rsidRDefault="0092287B" w:rsidP="0092287B">
      <w:pPr>
        <w:pStyle w:val="Zhlav"/>
        <w:tabs>
          <w:tab w:val="clear" w:pos="4536"/>
          <w:tab w:val="clear" w:pos="9072"/>
        </w:tabs>
        <w:rPr>
          <w:rFonts w:ascii="Times New Roman" w:hAnsi="Times New Roman"/>
          <w:sz w:val="24"/>
          <w:szCs w:val="24"/>
        </w:rPr>
      </w:pPr>
    </w:p>
    <w:p w:rsidR="0092287B" w:rsidRDefault="0092287B" w:rsidP="0092287B">
      <w:pPr>
        <w:pStyle w:val="Zhlav"/>
        <w:tabs>
          <w:tab w:val="clear" w:pos="4536"/>
          <w:tab w:val="clear" w:pos="9072"/>
        </w:tabs>
        <w:rPr>
          <w:rFonts w:ascii="Times New Roman" w:hAnsi="Times New Roman"/>
          <w:sz w:val="24"/>
          <w:szCs w:val="24"/>
        </w:rPr>
      </w:pPr>
    </w:p>
    <w:p w:rsidR="0092287B" w:rsidRDefault="0092287B" w:rsidP="0092287B">
      <w:pPr>
        <w:pStyle w:val="Zhlav"/>
        <w:tabs>
          <w:tab w:val="clear" w:pos="4536"/>
          <w:tab w:val="clear" w:pos="9072"/>
        </w:tabs>
        <w:rPr>
          <w:rFonts w:ascii="Times New Roman" w:hAnsi="Times New Roman"/>
          <w:sz w:val="24"/>
          <w:szCs w:val="24"/>
        </w:rPr>
      </w:pPr>
    </w:p>
    <w:p w:rsidR="0092287B" w:rsidRDefault="0092287B" w:rsidP="0092287B">
      <w:pPr>
        <w:pStyle w:val="Zhlav"/>
        <w:tabs>
          <w:tab w:val="clear" w:pos="4536"/>
          <w:tab w:val="clear" w:pos="9072"/>
        </w:tabs>
        <w:rPr>
          <w:rFonts w:ascii="Times New Roman" w:hAnsi="Times New Roman"/>
          <w:sz w:val="24"/>
          <w:szCs w:val="24"/>
        </w:rPr>
      </w:pPr>
    </w:p>
    <w:sectPr w:rsidR="0092287B"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A14FA">
      <w:rPr>
        <w:noProof/>
        <w:snapToGrid w:val="0"/>
      </w:rPr>
      <w:t>3</w:t>
    </w:r>
    <w:r>
      <w:rPr>
        <w:snapToGrid w:val="0"/>
      </w:rPr>
      <w:fldChar w:fldCharType="end"/>
    </w:r>
    <w:r>
      <w:rPr>
        <w:snapToGrid w:val="0"/>
      </w:rPr>
      <w:t xml:space="preserve"> (celkem </w:t>
    </w:r>
    <w:r w:rsidR="00BB1349">
      <w:rPr>
        <w:snapToGrid w:val="0"/>
      </w:rPr>
      <w:t>4</w:t>
    </w:r>
    <w:r>
      <w:rPr>
        <w:snapToGrid w:val="0"/>
      </w:rPr>
      <w:t>)</w:t>
    </w:r>
  </w:p>
  <w:p w:rsidR="00960C0E" w:rsidRDefault="00960C0E">
    <w:pPr>
      <w:pStyle w:val="Zpat"/>
      <w:jc w:val="right"/>
    </w:pPr>
    <w:r>
      <w:t xml:space="preserve">usnesení č. </w:t>
    </w:r>
    <w:r w:rsidR="004F25DF">
      <w:t>1</w:t>
    </w:r>
    <w:r w:rsidR="00F4472D">
      <w:t>5</w:t>
    </w:r>
    <w:r>
      <w:t>R-</w:t>
    </w:r>
    <w:r w:rsidR="00BB1349">
      <w:t>833</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A14FA">
      <w:rPr>
        <w:noProof/>
        <w:snapToGrid w:val="0"/>
      </w:rPr>
      <w:t>1</w:t>
    </w:r>
    <w:r>
      <w:rPr>
        <w:snapToGrid w:val="0"/>
      </w:rPr>
      <w:fldChar w:fldCharType="end"/>
    </w:r>
    <w:r>
      <w:rPr>
        <w:snapToGrid w:val="0"/>
      </w:rPr>
      <w:t xml:space="preserve"> (celkem </w:t>
    </w:r>
    <w:r w:rsidR="00194AAD">
      <w:rPr>
        <w:snapToGrid w:val="0"/>
      </w:rPr>
      <w:t>4</w:t>
    </w:r>
    <w:r>
      <w:rPr>
        <w:snapToGrid w:val="0"/>
      </w:rPr>
      <w:t>)</w:t>
    </w:r>
  </w:p>
  <w:p w:rsidR="00960C0E" w:rsidRDefault="00BE37ED">
    <w:pPr>
      <w:pStyle w:val="Zpat"/>
      <w:jc w:val="right"/>
    </w:pPr>
    <w:r>
      <w:t>usnesení č.</w:t>
    </w:r>
    <w:r w:rsidR="005C54B5">
      <w:t xml:space="preserve"> </w:t>
    </w:r>
    <w:r w:rsidR="0032596D">
      <w:t>1</w:t>
    </w:r>
    <w:r w:rsidR="00F4472D">
      <w:t>5</w:t>
    </w:r>
    <w:r w:rsidR="005D1B8B">
      <w:t>R-</w:t>
    </w:r>
    <w:r w:rsidR="00194AAD">
      <w:t>833</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FF4EB0"/>
    <w:multiLevelType w:val="hybridMultilevel"/>
    <w:tmpl w:val="722681AE"/>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743F4B"/>
    <w:multiLevelType w:val="hybridMultilevel"/>
    <w:tmpl w:val="04822B06"/>
    <w:lvl w:ilvl="0" w:tplc="FF0C12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AF6A7C"/>
    <w:multiLevelType w:val="hybridMultilevel"/>
    <w:tmpl w:val="B218C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2">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601107A"/>
    <w:multiLevelType w:val="hybridMultilevel"/>
    <w:tmpl w:val="80969C64"/>
    <w:lvl w:ilvl="0" w:tplc="C3529A02">
      <w:start w:val="1"/>
      <w:numFmt w:val="bullet"/>
      <w:lvlText w:val=""/>
      <w:lvlJc w:val="left"/>
      <w:pPr>
        <w:tabs>
          <w:tab w:val="num" w:pos="734"/>
        </w:tabs>
        <w:ind w:left="734" w:hanging="360"/>
      </w:pPr>
      <w:rPr>
        <w:rFonts w:ascii="Symbol" w:hAnsi="Symbol"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16">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3B1E365F"/>
    <w:multiLevelType w:val="hybridMultilevel"/>
    <w:tmpl w:val="4EA0A31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20">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21">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435D7C8C"/>
    <w:multiLevelType w:val="hybridMultilevel"/>
    <w:tmpl w:val="F1E0C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6">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C3167A"/>
    <w:multiLevelType w:val="hybridMultilevel"/>
    <w:tmpl w:val="891207F6"/>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16F499C"/>
    <w:multiLevelType w:val="hybridMultilevel"/>
    <w:tmpl w:val="4EA0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0">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841E6C"/>
    <w:multiLevelType w:val="hybridMultilevel"/>
    <w:tmpl w:val="7DA48888"/>
    <w:lvl w:ilvl="0" w:tplc="C0B4628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7C6B97"/>
    <w:multiLevelType w:val="hybridMultilevel"/>
    <w:tmpl w:val="B6242DF0"/>
    <w:lvl w:ilvl="0" w:tplc="B1A22A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9F50840"/>
    <w:multiLevelType w:val="hybridMultilevel"/>
    <w:tmpl w:val="78B41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AD1908"/>
    <w:multiLevelType w:val="hybridMultilevel"/>
    <w:tmpl w:val="F78C6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1"/>
  </w:num>
  <w:num w:numId="3">
    <w:abstractNumId w:val="9"/>
  </w:num>
  <w:num w:numId="4">
    <w:abstractNumId w:val="18"/>
  </w:num>
  <w:num w:numId="5">
    <w:abstractNumId w:val="35"/>
  </w:num>
  <w:num w:numId="6">
    <w:abstractNumId w:val="13"/>
  </w:num>
  <w:num w:numId="7">
    <w:abstractNumId w:val="24"/>
  </w:num>
  <w:num w:numId="8">
    <w:abstractNumId w:val="14"/>
  </w:num>
  <w:num w:numId="9">
    <w:abstractNumId w:val="30"/>
  </w:num>
  <w:num w:numId="10">
    <w:abstractNumId w:val="4"/>
  </w:num>
  <w:num w:numId="11">
    <w:abstractNumId w:val="3"/>
  </w:num>
  <w:num w:numId="12">
    <w:abstractNumId w:val="12"/>
  </w:num>
  <w:num w:numId="13">
    <w:abstractNumId w:val="6"/>
  </w:num>
  <w:num w:numId="14">
    <w:abstractNumId w:val="31"/>
  </w:num>
  <w:num w:numId="15">
    <w:abstractNumId w:val="8"/>
  </w:num>
  <w:num w:numId="16">
    <w:abstractNumId w:val="19"/>
  </w:num>
  <w:num w:numId="17">
    <w:abstractNumId w:val="0"/>
  </w:num>
  <w:num w:numId="18">
    <w:abstractNumId w:val="7"/>
  </w:num>
  <w:num w:numId="19">
    <w:abstractNumId w:val="38"/>
  </w:num>
  <w:num w:numId="20">
    <w:abstractNumId w:val="22"/>
  </w:num>
  <w:num w:numId="21">
    <w:abstractNumId w:val="11"/>
  </w:num>
  <w:num w:numId="22">
    <w:abstractNumId w:val="29"/>
  </w:num>
  <w:num w:numId="23">
    <w:abstractNumId w:val="10"/>
  </w:num>
  <w:num w:numId="24">
    <w:abstractNumId w:val="20"/>
  </w:num>
  <w:num w:numId="25">
    <w:abstractNumId w:val="41"/>
  </w:num>
  <w:num w:numId="26">
    <w:abstractNumId w:val="34"/>
  </w:num>
  <w:num w:numId="27">
    <w:abstractNumId w:val="26"/>
  </w:num>
  <w:num w:numId="28">
    <w:abstractNumId w:val="32"/>
  </w:num>
  <w:num w:numId="29">
    <w:abstractNumId w:val="37"/>
  </w:num>
  <w:num w:numId="30">
    <w:abstractNumId w:val="2"/>
  </w:num>
  <w:num w:numId="31">
    <w:abstractNumId w:val="16"/>
  </w:num>
  <w:num w:numId="32">
    <w:abstractNumId w:val="1"/>
  </w:num>
  <w:num w:numId="33">
    <w:abstractNumId w:val="27"/>
  </w:num>
  <w:num w:numId="34">
    <w:abstractNumId w:val="40"/>
  </w:num>
  <w:num w:numId="35">
    <w:abstractNumId w:val="23"/>
  </w:num>
  <w:num w:numId="36">
    <w:abstractNumId w:val="36"/>
  </w:num>
  <w:num w:numId="37">
    <w:abstractNumId w:val="5"/>
  </w:num>
  <w:num w:numId="38">
    <w:abstractNumId w:val="39"/>
  </w:num>
  <w:num w:numId="39">
    <w:abstractNumId w:val="15"/>
  </w:num>
  <w:num w:numId="40">
    <w:abstractNumId w:val="17"/>
  </w:num>
  <w:num w:numId="41">
    <w:abstractNumId w:val="28"/>
  </w:num>
  <w:num w:numId="4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4AAD"/>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1F721E"/>
    <w:rsid w:val="00200BE8"/>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55F"/>
    <w:rsid w:val="00426B94"/>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5DF"/>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C6AD9"/>
    <w:rsid w:val="005D09C3"/>
    <w:rsid w:val="005D1B8B"/>
    <w:rsid w:val="005D1E8D"/>
    <w:rsid w:val="005D3145"/>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044"/>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30B67"/>
    <w:rsid w:val="00831342"/>
    <w:rsid w:val="00832A68"/>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287B"/>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4FA"/>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1349"/>
    <w:rsid w:val="00BB42A6"/>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6D7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63E5-097F-4078-8D12-2F6AE593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4834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2016-08-25T07:34:00Z</cp:lastPrinted>
  <dcterms:created xsi:type="dcterms:W3CDTF">2016-08-25T12:05:00Z</dcterms:created>
  <dcterms:modified xsi:type="dcterms:W3CDTF">2016-08-25T12:05:00Z</dcterms:modified>
</cp:coreProperties>
</file>